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862BB" w14:textId="77777777" w:rsidR="002F6797" w:rsidRDefault="00000000">
      <w:pPr>
        <w:spacing w:after="0"/>
        <w:ind w:left="0" w:firstLine="0"/>
        <w:jc w:val="center"/>
      </w:pPr>
      <w:r>
        <w:rPr>
          <w:rFonts w:ascii="Arial" w:eastAsia="Arial" w:hAnsi="Arial" w:cs="Arial"/>
          <w:sz w:val="40"/>
        </w:rPr>
        <w:t xml:space="preserve">Kleine </w:t>
      </w:r>
      <w:proofErr w:type="spellStart"/>
      <w:proofErr w:type="gramStart"/>
      <w:r>
        <w:rPr>
          <w:rFonts w:ascii="Arial" w:eastAsia="Arial" w:hAnsi="Arial" w:cs="Arial"/>
          <w:sz w:val="40"/>
        </w:rPr>
        <w:t>Pianist:innen</w:t>
      </w:r>
      <w:proofErr w:type="spellEnd"/>
      <w:proofErr w:type="gramEnd"/>
      <w:r>
        <w:rPr>
          <w:rFonts w:ascii="Arial" w:eastAsia="Arial" w:hAnsi="Arial" w:cs="Arial"/>
          <w:sz w:val="40"/>
        </w:rPr>
        <w:t xml:space="preserve"> – Musikalische Früherziehung auf Basis des Klavierlernens und der Neurowissenschaft</w:t>
      </w:r>
      <w:r>
        <w:rPr>
          <w:rFonts w:ascii="Arial" w:eastAsia="Arial" w:hAnsi="Arial" w:cs="Arial"/>
          <w:sz w:val="22"/>
        </w:rPr>
        <w:t xml:space="preserve"> </w:t>
      </w:r>
    </w:p>
    <w:p w14:paraId="57D05582" w14:textId="77777777" w:rsidR="002F6797" w:rsidRDefault="00000000">
      <w:pPr>
        <w:spacing w:after="54" w:line="259" w:lineRule="auto"/>
        <w:ind w:left="97" w:firstLine="0"/>
      </w:pPr>
      <w:r>
        <w:rPr>
          <w:rFonts w:ascii="Calibri" w:eastAsia="Calibri" w:hAnsi="Calibri" w:cs="Calibri"/>
          <w:noProof/>
          <w:sz w:val="22"/>
        </w:rPr>
        <mc:AlternateContent>
          <mc:Choice Requires="wpg">
            <w:drawing>
              <wp:inline distT="0" distB="0" distL="0" distR="0" wp14:anchorId="7DF4ED3D" wp14:editId="383E3366">
                <wp:extent cx="5457190" cy="1544320"/>
                <wp:effectExtent l="0" t="0" r="0" b="0"/>
                <wp:docPr id="1033" name="Group 1033"/>
                <wp:cNvGraphicFramePr/>
                <a:graphic xmlns:a="http://schemas.openxmlformats.org/drawingml/2006/main">
                  <a:graphicData uri="http://schemas.microsoft.com/office/word/2010/wordprocessingGroup">
                    <wpg:wgp>
                      <wpg:cNvGrpSpPr/>
                      <wpg:grpSpPr>
                        <a:xfrm>
                          <a:off x="0" y="0"/>
                          <a:ext cx="5457190" cy="1544320"/>
                          <a:chOff x="0" y="0"/>
                          <a:chExt cx="5457190" cy="1544320"/>
                        </a:xfrm>
                      </wpg:grpSpPr>
                      <pic:pic xmlns:pic="http://schemas.openxmlformats.org/drawingml/2006/picture">
                        <pic:nvPicPr>
                          <pic:cNvPr id="108" name="Picture 108"/>
                          <pic:cNvPicPr/>
                        </pic:nvPicPr>
                        <pic:blipFill>
                          <a:blip r:embed="rId5"/>
                          <a:stretch>
                            <a:fillRect/>
                          </a:stretch>
                        </pic:blipFill>
                        <pic:spPr>
                          <a:xfrm>
                            <a:off x="3747770" y="4445"/>
                            <a:ext cx="1709420" cy="1533525"/>
                          </a:xfrm>
                          <a:prstGeom prst="rect">
                            <a:avLst/>
                          </a:prstGeom>
                        </pic:spPr>
                      </pic:pic>
                      <pic:pic xmlns:pic="http://schemas.openxmlformats.org/drawingml/2006/picture">
                        <pic:nvPicPr>
                          <pic:cNvPr id="110" name="Picture 110"/>
                          <pic:cNvPicPr/>
                        </pic:nvPicPr>
                        <pic:blipFill>
                          <a:blip r:embed="rId6"/>
                          <a:stretch>
                            <a:fillRect/>
                          </a:stretch>
                        </pic:blipFill>
                        <pic:spPr>
                          <a:xfrm>
                            <a:off x="0" y="0"/>
                            <a:ext cx="1687830" cy="1544320"/>
                          </a:xfrm>
                          <a:prstGeom prst="rect">
                            <a:avLst/>
                          </a:prstGeom>
                        </pic:spPr>
                      </pic:pic>
                    </wpg:wgp>
                  </a:graphicData>
                </a:graphic>
              </wp:inline>
            </w:drawing>
          </mc:Choice>
          <mc:Fallback xmlns:a="http://schemas.openxmlformats.org/drawingml/2006/main">
            <w:pict>
              <v:group id="Group 1033" style="width:429.7pt;height:121.6pt;mso-position-horizontal-relative:char;mso-position-vertical-relative:line" coordsize="54571,15443">
                <v:shape id="Picture 108" style="position:absolute;width:17094;height:15335;left:37477;top:44;" filled="f">
                  <v:imagedata r:id="rId7"/>
                </v:shape>
                <v:shape id="Picture 110" style="position:absolute;width:16878;height:15443;left:0;top:0;" filled="f">
                  <v:imagedata r:id="rId8"/>
                </v:shape>
              </v:group>
            </w:pict>
          </mc:Fallback>
        </mc:AlternateContent>
      </w:r>
    </w:p>
    <w:p w14:paraId="6E6D3131" w14:textId="77777777" w:rsidR="002F6797" w:rsidRDefault="00000000">
      <w:pPr>
        <w:spacing w:after="305" w:line="264" w:lineRule="auto"/>
        <w:ind w:left="122" w:right="589"/>
      </w:pPr>
      <w:r>
        <w:rPr>
          <w:rFonts w:ascii="Arial" w:eastAsia="Arial" w:hAnsi="Arial" w:cs="Arial"/>
          <w:sz w:val="22"/>
        </w:rPr>
        <w:t xml:space="preserve">   Madarys Morgan                                                                        Yvonne Siegert   </w:t>
      </w:r>
    </w:p>
    <w:p w14:paraId="6E052440" w14:textId="77777777" w:rsidR="002F6797" w:rsidRDefault="00000000">
      <w:pPr>
        <w:spacing w:after="268"/>
      </w:pPr>
      <w:r>
        <w:t xml:space="preserve">Diese Kurse richten sich an Kinder im frühen Alter und basieren auf neurowissenschaftlichen Erkenntnissen. </w:t>
      </w:r>
    </w:p>
    <w:p w14:paraId="564CAA67" w14:textId="77777777" w:rsidR="002F6797" w:rsidRDefault="00000000">
      <w:pPr>
        <w:spacing w:after="270"/>
      </w:pPr>
      <w:r>
        <w:t xml:space="preserve">Die Kinder lernen in diesem Kurs noch nicht direkt Klavier zu spielen. Stattdessen werden gezielt jene mentalen, motorischen und sensorischen Fähigkeiten gefördert, die eine wichtige Grundlage für das spätere Klavierlernen sowie das Notenlesen bilden. </w:t>
      </w:r>
    </w:p>
    <w:p w14:paraId="563214B2" w14:textId="77777777" w:rsidR="002F6797" w:rsidRDefault="00000000">
      <w:pPr>
        <w:spacing w:after="271"/>
      </w:pPr>
      <w:r>
        <w:t xml:space="preserve">Durch eine Kombination aus Musik, Bewegung, </w:t>
      </w:r>
      <w:proofErr w:type="gramStart"/>
      <w:r>
        <w:t>Rhythmus,  und</w:t>
      </w:r>
      <w:proofErr w:type="gramEnd"/>
      <w:r>
        <w:t xml:space="preserve"> bewusster Wahrnehmung werden insbesondere folgende Fähigkeiten entwickelt: </w:t>
      </w:r>
    </w:p>
    <w:p w14:paraId="5A50E45A" w14:textId="77777777" w:rsidR="002F6797" w:rsidRDefault="00000000">
      <w:pPr>
        <w:numPr>
          <w:ilvl w:val="0"/>
          <w:numId w:val="1"/>
        </w:numPr>
        <w:ind w:hanging="360"/>
      </w:pPr>
      <w:r>
        <w:t xml:space="preserve">Konzentration und Aufmerksamkeit </w:t>
      </w:r>
    </w:p>
    <w:p w14:paraId="6C553BEA" w14:textId="77777777" w:rsidR="002F6797" w:rsidRDefault="00000000">
      <w:pPr>
        <w:numPr>
          <w:ilvl w:val="0"/>
          <w:numId w:val="1"/>
        </w:numPr>
        <w:ind w:hanging="360"/>
      </w:pPr>
      <w:r>
        <w:t xml:space="preserve">Kreativität </w:t>
      </w:r>
    </w:p>
    <w:p w14:paraId="1CE87D71" w14:textId="77777777" w:rsidR="002F6797" w:rsidRDefault="00000000">
      <w:pPr>
        <w:numPr>
          <w:ilvl w:val="0"/>
          <w:numId w:val="1"/>
        </w:numPr>
        <w:ind w:hanging="360"/>
      </w:pPr>
      <w:r>
        <w:t xml:space="preserve">Fein- und Grobmotorik </w:t>
      </w:r>
    </w:p>
    <w:p w14:paraId="1E210E3A" w14:textId="77777777" w:rsidR="002F6797" w:rsidRDefault="00000000">
      <w:pPr>
        <w:numPr>
          <w:ilvl w:val="0"/>
          <w:numId w:val="1"/>
        </w:numPr>
        <w:ind w:hanging="360"/>
      </w:pPr>
      <w:r>
        <w:t xml:space="preserve">Koordination beider Körperseiten </w:t>
      </w:r>
    </w:p>
    <w:p w14:paraId="752B870E" w14:textId="77777777" w:rsidR="002F6797" w:rsidRDefault="00000000">
      <w:pPr>
        <w:numPr>
          <w:ilvl w:val="0"/>
          <w:numId w:val="1"/>
        </w:numPr>
        <w:ind w:hanging="360"/>
      </w:pPr>
      <w:r>
        <w:t xml:space="preserve">Körperbewusstsein </w:t>
      </w:r>
    </w:p>
    <w:p w14:paraId="21E928F0" w14:textId="77777777" w:rsidR="002F6797" w:rsidRDefault="00000000">
      <w:pPr>
        <w:numPr>
          <w:ilvl w:val="0"/>
          <w:numId w:val="1"/>
        </w:numPr>
        <w:ind w:hanging="360"/>
      </w:pPr>
      <w:r>
        <w:t xml:space="preserve">Hörwahrnehmung </w:t>
      </w:r>
    </w:p>
    <w:p w14:paraId="08D4349D" w14:textId="77777777" w:rsidR="002F6797" w:rsidRDefault="00000000">
      <w:pPr>
        <w:numPr>
          <w:ilvl w:val="0"/>
          <w:numId w:val="1"/>
        </w:numPr>
        <w:spacing w:after="265"/>
        <w:ind w:hanging="360"/>
      </w:pPr>
      <w:r>
        <w:t xml:space="preserve">Rhythmusgefühl </w:t>
      </w:r>
    </w:p>
    <w:p w14:paraId="4FF33211" w14:textId="77777777" w:rsidR="002F6797" w:rsidRDefault="00000000">
      <w:pPr>
        <w:spacing w:after="254"/>
      </w:pPr>
      <w:r>
        <w:t xml:space="preserve">Der Kurs bietet somit eine ideale Vorbereitung für den späteren Einstieg in den Instrumentalunterricht. </w:t>
      </w:r>
    </w:p>
    <w:p w14:paraId="3FD49782" w14:textId="77777777" w:rsidR="002F6797" w:rsidRDefault="00000000">
      <w:pPr>
        <w:spacing w:after="26" w:line="259" w:lineRule="auto"/>
        <w:ind w:left="93" w:right="589"/>
      </w:pPr>
      <w:r>
        <w:rPr>
          <w:noProof/>
        </w:rPr>
        <w:drawing>
          <wp:anchor distT="0" distB="0" distL="114300" distR="114300" simplePos="0" relativeHeight="251658240" behindDoc="0" locked="0" layoutInCell="1" allowOverlap="0" wp14:anchorId="45469BCF" wp14:editId="40D4202D">
            <wp:simplePos x="0" y="0"/>
            <wp:positionH relativeFrom="column">
              <wp:posOffset>3782390</wp:posOffset>
            </wp:positionH>
            <wp:positionV relativeFrom="paragraph">
              <wp:posOffset>-50197</wp:posOffset>
            </wp:positionV>
            <wp:extent cx="1783080" cy="1432560"/>
            <wp:effectExtent l="0" t="0" r="0" b="0"/>
            <wp:wrapSquare wrapText="bothSides"/>
            <wp:docPr id="112" name="Pictu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9"/>
                    <a:stretch>
                      <a:fillRect/>
                    </a:stretch>
                  </pic:blipFill>
                  <pic:spPr>
                    <a:xfrm>
                      <a:off x="0" y="0"/>
                      <a:ext cx="1783080" cy="1432560"/>
                    </a:xfrm>
                    <a:prstGeom prst="rect">
                      <a:avLst/>
                    </a:prstGeom>
                  </pic:spPr>
                </pic:pic>
              </a:graphicData>
            </a:graphic>
          </wp:anchor>
        </w:drawing>
      </w:r>
      <w:r>
        <w:rPr>
          <w:rFonts w:ascii="Arial" w:eastAsia="Arial" w:hAnsi="Arial" w:cs="Arial"/>
          <w:b/>
          <w:sz w:val="22"/>
        </w:rPr>
        <w:t>Altersgruppen:</w:t>
      </w:r>
      <w:r>
        <w:rPr>
          <w:rFonts w:ascii="Arial" w:eastAsia="Arial" w:hAnsi="Arial" w:cs="Arial"/>
          <w:sz w:val="22"/>
        </w:rPr>
        <w:t xml:space="preserve">  </w:t>
      </w:r>
    </w:p>
    <w:p w14:paraId="59C52E31" w14:textId="77777777" w:rsidR="002F6797" w:rsidRDefault="00000000">
      <w:pPr>
        <w:numPr>
          <w:ilvl w:val="0"/>
          <w:numId w:val="1"/>
        </w:numPr>
        <w:spacing w:after="25" w:line="264" w:lineRule="auto"/>
        <w:ind w:hanging="360"/>
      </w:pPr>
      <w:r>
        <w:rPr>
          <w:rFonts w:ascii="Arial" w:eastAsia="Arial" w:hAnsi="Arial" w:cs="Arial"/>
          <w:sz w:val="22"/>
        </w:rPr>
        <w:t xml:space="preserve">2–3 Jahre </w:t>
      </w:r>
    </w:p>
    <w:p w14:paraId="7C89F114" w14:textId="77777777" w:rsidR="002F6797" w:rsidRDefault="00000000">
      <w:pPr>
        <w:numPr>
          <w:ilvl w:val="0"/>
          <w:numId w:val="1"/>
        </w:numPr>
        <w:spacing w:after="326" w:line="264" w:lineRule="auto"/>
        <w:ind w:hanging="360"/>
      </w:pPr>
      <w:r>
        <w:rPr>
          <w:rFonts w:ascii="Arial" w:eastAsia="Arial" w:hAnsi="Arial" w:cs="Arial"/>
          <w:sz w:val="22"/>
        </w:rPr>
        <w:t xml:space="preserve">3–4 Jahre </w:t>
      </w:r>
    </w:p>
    <w:p w14:paraId="52F27FF4" w14:textId="77777777" w:rsidR="002F6797" w:rsidRDefault="00000000">
      <w:pPr>
        <w:spacing w:after="25" w:line="264" w:lineRule="auto"/>
        <w:ind w:left="122" w:right="589"/>
      </w:pPr>
      <w:r>
        <w:rPr>
          <w:rFonts w:ascii="Arial" w:eastAsia="Arial" w:hAnsi="Arial" w:cs="Arial"/>
          <w:b/>
          <w:sz w:val="22"/>
        </w:rPr>
        <w:t>Dauer:</w:t>
      </w:r>
      <w:r>
        <w:rPr>
          <w:rFonts w:ascii="Arial" w:eastAsia="Arial" w:hAnsi="Arial" w:cs="Arial"/>
          <w:sz w:val="22"/>
        </w:rPr>
        <w:t xml:space="preserve"> 30 Minuten </w:t>
      </w:r>
    </w:p>
    <w:p w14:paraId="3C239EDD" w14:textId="77777777" w:rsidR="002F6797" w:rsidRDefault="00000000">
      <w:pPr>
        <w:spacing w:after="320" w:line="264" w:lineRule="auto"/>
        <w:ind w:left="122" w:right="589"/>
      </w:pPr>
      <w:r>
        <w:rPr>
          <w:rFonts w:ascii="Arial" w:eastAsia="Arial" w:hAnsi="Arial" w:cs="Arial"/>
          <w:b/>
          <w:sz w:val="22"/>
        </w:rPr>
        <w:t>Ort:</w:t>
      </w:r>
      <w:r>
        <w:rPr>
          <w:rFonts w:ascii="Arial" w:eastAsia="Arial" w:hAnsi="Arial" w:cs="Arial"/>
          <w:sz w:val="22"/>
        </w:rPr>
        <w:t xml:space="preserve"> </w:t>
      </w:r>
      <w:proofErr w:type="spellStart"/>
      <w:r>
        <w:rPr>
          <w:rFonts w:ascii="Arial" w:eastAsia="Arial" w:hAnsi="Arial" w:cs="Arial"/>
          <w:sz w:val="22"/>
        </w:rPr>
        <w:t>Hauptstrasse</w:t>
      </w:r>
      <w:proofErr w:type="spellEnd"/>
      <w:r>
        <w:rPr>
          <w:rFonts w:ascii="Arial" w:eastAsia="Arial" w:hAnsi="Arial" w:cs="Arial"/>
          <w:sz w:val="22"/>
        </w:rPr>
        <w:t xml:space="preserve"> 35-37 77704 Oberkirch  </w:t>
      </w:r>
    </w:p>
    <w:p w14:paraId="3D925B5A" w14:textId="77777777" w:rsidR="002F6797" w:rsidRDefault="00000000">
      <w:pPr>
        <w:spacing w:after="26" w:line="259" w:lineRule="auto"/>
        <w:ind w:left="93" w:right="589"/>
      </w:pPr>
      <w:r>
        <w:rPr>
          <w:rFonts w:ascii="Arial" w:eastAsia="Arial" w:hAnsi="Arial" w:cs="Arial"/>
          <w:b/>
          <w:sz w:val="22"/>
        </w:rPr>
        <w:t>Anmeldung &amp; Information:</w:t>
      </w:r>
      <w:r>
        <w:rPr>
          <w:rFonts w:ascii="Arial" w:eastAsia="Arial" w:hAnsi="Arial" w:cs="Arial"/>
          <w:sz w:val="22"/>
        </w:rPr>
        <w:t xml:space="preserve"> </w:t>
      </w:r>
    </w:p>
    <w:p w14:paraId="32C76815" w14:textId="77777777" w:rsidR="002F6797" w:rsidRDefault="00000000">
      <w:pPr>
        <w:spacing w:after="25" w:line="264" w:lineRule="auto"/>
        <w:ind w:left="122" w:right="589"/>
      </w:pPr>
      <w:r>
        <w:rPr>
          <w:rFonts w:ascii="Arial" w:eastAsia="Arial" w:hAnsi="Arial" w:cs="Arial"/>
          <w:sz w:val="22"/>
        </w:rPr>
        <w:t xml:space="preserve">Telefon: 0176 31 21 42 49 </w:t>
      </w:r>
    </w:p>
    <w:p w14:paraId="26F0C60C" w14:textId="77777777" w:rsidR="002F6797" w:rsidRDefault="00000000">
      <w:pPr>
        <w:spacing w:after="25" w:line="264" w:lineRule="auto"/>
        <w:ind w:left="122" w:right="589"/>
      </w:pPr>
      <w:r>
        <w:rPr>
          <w:rFonts w:ascii="Arial" w:eastAsia="Arial" w:hAnsi="Arial" w:cs="Arial"/>
          <w:sz w:val="22"/>
        </w:rPr>
        <w:t xml:space="preserve">E-Mail: info@madarysmorganpianoacademy.de </w:t>
      </w:r>
    </w:p>
    <w:p w14:paraId="7DEA7AB8" w14:textId="77777777" w:rsidR="002F6797" w:rsidRDefault="00000000">
      <w:pPr>
        <w:spacing w:after="25" w:line="264" w:lineRule="auto"/>
        <w:ind w:left="122"/>
      </w:pPr>
      <w:r>
        <w:rPr>
          <w:rFonts w:ascii="Arial" w:eastAsia="Arial" w:hAnsi="Arial" w:cs="Arial"/>
          <w:sz w:val="22"/>
        </w:rPr>
        <w:lastRenderedPageBreak/>
        <w:t xml:space="preserve">Instagram / Website: </w:t>
      </w:r>
      <w:proofErr w:type="spellStart"/>
      <w:r>
        <w:rPr>
          <w:rFonts w:ascii="Arial" w:eastAsia="Arial" w:hAnsi="Arial" w:cs="Arial"/>
          <w:sz w:val="22"/>
        </w:rPr>
        <w:t>madarysmorgan_pianoacademy</w:t>
      </w:r>
      <w:proofErr w:type="spellEnd"/>
      <w:r>
        <w:rPr>
          <w:rFonts w:ascii="Arial" w:eastAsia="Arial" w:hAnsi="Arial" w:cs="Arial"/>
          <w:sz w:val="22"/>
        </w:rPr>
        <w:t xml:space="preserve"> / </w:t>
      </w:r>
      <w:hyperlink r:id="rId10">
        <w:r>
          <w:rPr>
            <w:rFonts w:ascii="Arial" w:eastAsia="Arial" w:hAnsi="Arial" w:cs="Arial"/>
            <w:color w:val="467886"/>
            <w:sz w:val="22"/>
            <w:u w:val="single" w:color="467886"/>
          </w:rPr>
          <w:t>www.madarysmorganpianoacademy.de</w:t>
        </w:r>
      </w:hyperlink>
      <w:hyperlink r:id="rId11">
        <w:r>
          <w:rPr>
            <w:rFonts w:ascii="Arial" w:eastAsia="Arial" w:hAnsi="Arial" w:cs="Arial"/>
            <w:sz w:val="22"/>
          </w:rPr>
          <w:t xml:space="preserve"> </w:t>
        </w:r>
      </w:hyperlink>
    </w:p>
    <w:p w14:paraId="2772E62C" w14:textId="77777777" w:rsidR="002F6797" w:rsidRDefault="00000000">
      <w:pPr>
        <w:spacing w:after="0" w:line="259" w:lineRule="auto"/>
        <w:ind w:left="127" w:firstLine="0"/>
        <w:jc w:val="both"/>
      </w:pPr>
      <w:r>
        <w:rPr>
          <w:rFonts w:ascii="Arial" w:eastAsia="Arial" w:hAnsi="Arial" w:cs="Arial"/>
          <w:sz w:val="22"/>
        </w:rPr>
        <w:t xml:space="preserve"> </w:t>
      </w:r>
    </w:p>
    <w:sectPr w:rsidR="002F6797">
      <w:pgSz w:w="11899" w:h="16841"/>
      <w:pgMar w:top="1488" w:right="1417" w:bottom="1638" w:left="11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E089D"/>
    <w:multiLevelType w:val="hybridMultilevel"/>
    <w:tmpl w:val="487041A0"/>
    <w:lvl w:ilvl="0" w:tplc="18105E4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C0C618">
      <w:start w:val="1"/>
      <w:numFmt w:val="bullet"/>
      <w:lvlText w:val="o"/>
      <w:lvlJc w:val="left"/>
      <w:pPr>
        <w:ind w:left="1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880F214">
      <w:start w:val="1"/>
      <w:numFmt w:val="bullet"/>
      <w:lvlText w:val="▪"/>
      <w:lvlJc w:val="left"/>
      <w:pPr>
        <w:ind w:left="2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B81F7A">
      <w:start w:val="1"/>
      <w:numFmt w:val="bullet"/>
      <w:lvlText w:val="•"/>
      <w:lvlJc w:val="left"/>
      <w:pPr>
        <w:ind w:left="2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5E4E80">
      <w:start w:val="1"/>
      <w:numFmt w:val="bullet"/>
      <w:lvlText w:val="o"/>
      <w:lvlJc w:val="left"/>
      <w:pPr>
        <w:ind w:left="3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2043F0">
      <w:start w:val="1"/>
      <w:numFmt w:val="bullet"/>
      <w:lvlText w:val="▪"/>
      <w:lvlJc w:val="left"/>
      <w:pPr>
        <w:ind w:left="4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F64390">
      <w:start w:val="1"/>
      <w:numFmt w:val="bullet"/>
      <w:lvlText w:val="•"/>
      <w:lvlJc w:val="left"/>
      <w:pPr>
        <w:ind w:left="4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86BAB0">
      <w:start w:val="1"/>
      <w:numFmt w:val="bullet"/>
      <w:lvlText w:val="o"/>
      <w:lvlJc w:val="left"/>
      <w:pPr>
        <w:ind w:left="5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0220BA0">
      <w:start w:val="1"/>
      <w:numFmt w:val="bullet"/>
      <w:lvlText w:val="▪"/>
      <w:lvlJc w:val="left"/>
      <w:pPr>
        <w:ind w:left="6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6248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797"/>
    <w:rsid w:val="002F6797"/>
    <w:rsid w:val="006A32EA"/>
    <w:rsid w:val="006D61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4799"/>
  <w15:docId w15:val="{C8657A20-9EE7-41BF-8F4E-7A8779DA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0" w:line="249" w:lineRule="auto"/>
      <w:ind w:left="10" w:hanging="10"/>
    </w:pPr>
    <w:rPr>
      <w:rFonts w:ascii="Times New Roman" w:eastAsia="Times New Roman" w:hAnsi="Times New Roman" w:cs="Times New Roman"/>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0.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madarysmorganpianoacademy.de/" TargetMode="External"/><Relationship Id="rId5" Type="http://schemas.openxmlformats.org/officeDocument/2006/relationships/image" Target="media/image1.jpg"/><Relationship Id="rId10" Type="http://schemas.openxmlformats.org/officeDocument/2006/relationships/hyperlink" Target="http://www.madarysmorganpianoacademy.de/"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1021</Characters>
  <Application>Microsoft Office Word</Application>
  <DocSecurity>0</DocSecurity>
  <Lines>31</Lines>
  <Paragraphs>22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Johannes Lemmer</cp:lastModifiedBy>
  <cp:revision>2</cp:revision>
  <dcterms:created xsi:type="dcterms:W3CDTF">2026-03-23T09:32:00Z</dcterms:created>
  <dcterms:modified xsi:type="dcterms:W3CDTF">2026-03-23T09:32:00Z</dcterms:modified>
</cp:coreProperties>
</file>